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F6543" w14:textId="77777777" w:rsidR="001632AF" w:rsidRDefault="001632AF">
      <w:pPr>
        <w:rPr>
          <w:lang w:val="kk-KZ"/>
        </w:rPr>
      </w:pPr>
    </w:p>
    <w:p w14:paraId="5ED82D2C" w14:textId="77777777" w:rsidR="008C2940" w:rsidRPr="00B33AAF" w:rsidRDefault="008C2940" w:rsidP="008C2940">
      <w:pPr>
        <w:tabs>
          <w:tab w:val="left" w:pos="1276"/>
        </w:tabs>
        <w:rPr>
          <w:b/>
          <w:sz w:val="40"/>
          <w:szCs w:val="40"/>
          <w:lang w:val="kk-KZ"/>
        </w:rPr>
      </w:pPr>
      <w:r w:rsidRPr="00B33AAF">
        <w:rPr>
          <w:sz w:val="40"/>
          <w:szCs w:val="40"/>
          <w:lang w:val="kk-KZ"/>
        </w:rPr>
        <w:t xml:space="preserve">6 Тақырып  </w:t>
      </w:r>
      <w:r w:rsidRPr="00B33AAF">
        <w:rPr>
          <w:sz w:val="40"/>
          <w:szCs w:val="40"/>
          <w:lang w:val="kk-KZ" w:eastAsia="ar-SA"/>
        </w:rPr>
        <w:t>Дағдарысқа қарсы басқару ортасының ішкі және сыртқы факторларын талдау</w:t>
      </w:r>
    </w:p>
    <w:p w14:paraId="2C7CC2CF" w14:textId="77777777" w:rsidR="005377E2" w:rsidRDefault="005377E2">
      <w:pPr>
        <w:rPr>
          <w:lang w:val="kk-KZ"/>
        </w:rPr>
      </w:pPr>
    </w:p>
    <w:p w14:paraId="6B650FBC" w14:textId="77777777" w:rsidR="008C2940" w:rsidRPr="00AE685D" w:rsidRDefault="008C2940" w:rsidP="008C2940">
      <w:pPr>
        <w:jc w:val="both"/>
        <w:rPr>
          <w:color w:val="FF0000"/>
          <w:sz w:val="36"/>
          <w:szCs w:val="36"/>
          <w:lang w:val="kk-KZ"/>
        </w:rPr>
      </w:pPr>
      <w:r>
        <w:rPr>
          <w:color w:val="FF0000"/>
          <w:sz w:val="36"/>
          <w:szCs w:val="36"/>
          <w:lang w:val="kk-KZ"/>
        </w:rPr>
        <w:t xml:space="preserve">          </w:t>
      </w:r>
      <w:r w:rsidRPr="00AE685D">
        <w:rPr>
          <w:color w:val="FF0000"/>
          <w:sz w:val="36"/>
          <w:szCs w:val="36"/>
          <w:lang w:val="kk-KZ"/>
        </w:rPr>
        <w:t>Стратегия – бұл негізгі бір мақсатқа жету үшін қорлардың пайда болатын мәселенің, яғни іс-әрекеттің басты бағдарламасы. Стратегиялық басқару кәсіпорынның жеке қорларын әртүрлі қа- терге қарамастан сырқы ортаға шығарып стратегиялық шешім- дерді қабылдау және іске асыру болып табылады. Ол өткенді және болашақты байланыстыратын бір уақытта дамытуға жол бастайтын уақыт жібі болу керек. Жалпы түрде стратегия биз- нестің тиімді іскерлік тұжырымдамасы болып анықталуы мүмкін. Жоспарлауды төрт сатыға бөледі:</w:t>
      </w:r>
    </w:p>
    <w:p w14:paraId="1F197E4F" w14:textId="77777777" w:rsidR="008C2940" w:rsidRPr="00AE685D" w:rsidRDefault="008C2940" w:rsidP="008C2940">
      <w:pPr>
        <w:jc w:val="both"/>
        <w:rPr>
          <w:color w:val="FF0000"/>
          <w:sz w:val="36"/>
          <w:szCs w:val="36"/>
          <w:lang w:val="kk-KZ"/>
        </w:rPr>
      </w:pPr>
    </w:p>
    <w:p w14:paraId="300F5C77" w14:textId="77777777" w:rsidR="008C2940" w:rsidRPr="00AE685D" w:rsidRDefault="008C2940" w:rsidP="008C2940">
      <w:pPr>
        <w:jc w:val="both"/>
        <w:rPr>
          <w:color w:val="FF0000"/>
          <w:sz w:val="36"/>
          <w:szCs w:val="36"/>
          <w:lang w:val="kk-KZ"/>
        </w:rPr>
      </w:pPr>
      <w:r w:rsidRPr="00AE685D">
        <w:rPr>
          <w:color w:val="FF0000"/>
          <w:sz w:val="36"/>
          <w:szCs w:val="36"/>
          <w:lang w:val="kk-KZ"/>
        </w:rPr>
        <w:t>Бюджеттеу</w:t>
      </w:r>
    </w:p>
    <w:p w14:paraId="585B0ACF" w14:textId="77777777" w:rsidR="008C2940" w:rsidRPr="00AE685D" w:rsidRDefault="008C2940" w:rsidP="008C2940">
      <w:pPr>
        <w:jc w:val="both"/>
        <w:rPr>
          <w:color w:val="FF0000"/>
          <w:sz w:val="36"/>
          <w:szCs w:val="36"/>
          <w:lang w:val="kk-KZ"/>
        </w:rPr>
      </w:pPr>
      <w:r w:rsidRPr="00AE685D">
        <w:rPr>
          <w:color w:val="FF0000"/>
          <w:sz w:val="36"/>
          <w:szCs w:val="36"/>
          <w:lang w:val="kk-KZ"/>
        </w:rPr>
        <w:t>Ұзақ мерзімді жоспарлау</w:t>
      </w:r>
    </w:p>
    <w:p w14:paraId="37BA8F47" w14:textId="77777777" w:rsidR="008C2940" w:rsidRPr="00AE685D" w:rsidRDefault="008C2940" w:rsidP="008C2940">
      <w:pPr>
        <w:jc w:val="both"/>
        <w:rPr>
          <w:color w:val="FF0000"/>
          <w:sz w:val="36"/>
          <w:szCs w:val="36"/>
          <w:lang w:val="kk-KZ"/>
        </w:rPr>
      </w:pPr>
      <w:r w:rsidRPr="00AE685D">
        <w:rPr>
          <w:color w:val="FF0000"/>
          <w:sz w:val="36"/>
          <w:szCs w:val="36"/>
          <w:lang w:val="kk-KZ"/>
        </w:rPr>
        <w:t>Стратегиялық жоспарлау</w:t>
      </w:r>
    </w:p>
    <w:p w14:paraId="0B1755BC" w14:textId="77777777" w:rsidR="008C2940" w:rsidRPr="00AE685D" w:rsidRDefault="008C2940" w:rsidP="008C2940">
      <w:pPr>
        <w:jc w:val="both"/>
        <w:rPr>
          <w:color w:val="FF0000"/>
          <w:sz w:val="36"/>
          <w:szCs w:val="36"/>
          <w:lang w:val="kk-KZ"/>
        </w:rPr>
      </w:pPr>
      <w:r w:rsidRPr="00AE685D">
        <w:rPr>
          <w:color w:val="FF0000"/>
          <w:sz w:val="36"/>
          <w:szCs w:val="36"/>
          <w:lang w:val="kk-KZ"/>
        </w:rPr>
        <w:t>Стратегиялық менеджмент</w:t>
      </w:r>
    </w:p>
    <w:p w14:paraId="1940D6F4" w14:textId="77777777" w:rsidR="008C2940" w:rsidRPr="00AE685D" w:rsidRDefault="008C2940" w:rsidP="008C2940">
      <w:pPr>
        <w:jc w:val="both"/>
        <w:rPr>
          <w:color w:val="FF0000"/>
          <w:sz w:val="36"/>
          <w:szCs w:val="36"/>
          <w:lang w:val="kk-KZ"/>
        </w:rPr>
      </w:pPr>
    </w:p>
    <w:p w14:paraId="67831752" w14:textId="77777777" w:rsidR="008C2940" w:rsidRPr="00AE685D" w:rsidRDefault="008C2940" w:rsidP="008C2940">
      <w:pPr>
        <w:jc w:val="both"/>
        <w:rPr>
          <w:color w:val="FF0000"/>
          <w:sz w:val="36"/>
          <w:szCs w:val="36"/>
          <w:lang w:val="kk-KZ"/>
        </w:rPr>
      </w:pPr>
    </w:p>
    <w:p w14:paraId="2B2285F9" w14:textId="77777777" w:rsidR="008C2940" w:rsidRPr="00AE685D" w:rsidRDefault="008C2940" w:rsidP="008C2940">
      <w:pPr>
        <w:jc w:val="both"/>
        <w:rPr>
          <w:color w:val="FF0000"/>
          <w:sz w:val="36"/>
          <w:szCs w:val="36"/>
          <w:lang w:val="kk-KZ"/>
        </w:rPr>
      </w:pPr>
      <w:r w:rsidRPr="00AE685D">
        <w:rPr>
          <w:color w:val="FF0000"/>
          <w:sz w:val="36"/>
          <w:szCs w:val="36"/>
          <w:lang w:val="kk-KZ"/>
        </w:rPr>
        <w:t>Қазақстандық экономиканың нарықтық қатынастарға өту жылдарында көптеген кәсіпорындар мен ұйымдар қаржылық-шаруашылық қызметпен байланысты проблемаларға кезігіп, төлем қабілетсіздік жағдайына тап болды, сондықтан ұйымдағы дағдарысқа қарсы стратегияны әзірлеу аса маңызды рөлге ие болып отыр.</w:t>
      </w:r>
    </w:p>
    <w:p w14:paraId="667A6B7C" w14:textId="77777777" w:rsidR="008C2940" w:rsidRPr="00AE685D" w:rsidRDefault="008C2940" w:rsidP="008C2940">
      <w:pPr>
        <w:jc w:val="both"/>
        <w:rPr>
          <w:color w:val="FF0000"/>
          <w:sz w:val="36"/>
          <w:szCs w:val="36"/>
          <w:lang w:val="kk-KZ"/>
        </w:rPr>
      </w:pPr>
    </w:p>
    <w:p w14:paraId="017A5F93" w14:textId="77777777" w:rsidR="008C2940" w:rsidRPr="00AE685D" w:rsidRDefault="008C2940" w:rsidP="008C2940">
      <w:pPr>
        <w:jc w:val="both"/>
        <w:rPr>
          <w:color w:val="FF0000"/>
          <w:sz w:val="36"/>
          <w:szCs w:val="36"/>
          <w:lang w:val="kk-KZ"/>
        </w:rPr>
      </w:pPr>
      <w:r w:rsidRPr="00AE685D">
        <w:rPr>
          <w:color w:val="FF0000"/>
          <w:sz w:val="36"/>
          <w:szCs w:val="36"/>
          <w:lang w:val="kk-KZ"/>
        </w:rPr>
        <w:t>Мәселенің өзектілігі. Қазақстанның экономикалық дағдарысы – бұл көп аспектілі құбылыс, қарама-қайшылықтар кешенінің көрінісі; оның алдын-алуының дайын рецепті жоқ, сондықтан ұйымның дағдарысқа қарсы стратегиясын, жаңа тәсілдерді, және тұжырымдамаларды қайта қарастыру қажет.</w:t>
      </w:r>
    </w:p>
    <w:p w14:paraId="4EB1309D" w14:textId="77777777" w:rsidR="008C2940" w:rsidRPr="00AE685D" w:rsidRDefault="008C2940" w:rsidP="008C2940">
      <w:pPr>
        <w:jc w:val="both"/>
        <w:rPr>
          <w:color w:val="FF0000"/>
          <w:sz w:val="36"/>
          <w:szCs w:val="36"/>
          <w:lang w:val="kk-KZ"/>
        </w:rPr>
      </w:pPr>
    </w:p>
    <w:p w14:paraId="7EA2E94C" w14:textId="77777777" w:rsidR="008C2940" w:rsidRPr="00AE685D" w:rsidRDefault="008C2940" w:rsidP="008C2940">
      <w:pPr>
        <w:jc w:val="both"/>
        <w:rPr>
          <w:color w:val="FF0000"/>
          <w:sz w:val="36"/>
          <w:szCs w:val="36"/>
          <w:lang w:val="kk-KZ"/>
        </w:rPr>
      </w:pPr>
      <w:r w:rsidRPr="00AE685D">
        <w:rPr>
          <w:color w:val="FF0000"/>
          <w:sz w:val="36"/>
          <w:szCs w:val="36"/>
          <w:lang w:val="kk-KZ"/>
        </w:rPr>
        <w:lastRenderedPageBreak/>
        <w:t>Жалпы дағдарыстың барлық себептері өзара тығыз байланысты және себеп-салдарлы байланыстар кешенін білдіреді. Мұндай проблемалар кешенін өндірісті дамыту мақсатымен шешу екі бағыттағы шараларды жүзеге асыруды болжайды: біріншісі — мұндай қиын проблемалардың қолданбалы және теориялық сұрақтарын шешудің негізіндегі мемлекеттің экономикалық жүйелерін ұйымдастыру бойынша ұзақ мерзімді құрылымдық сипаттағы шараларды кіріктіреді. Шаралардың екінші бағыты дағдарысты ахуалда және инвестициялардың жоқ жағдайына тап болған кәсіпорындарға жеделдетілген, бірақ қатаң басқарылатын әсер ету сипатына ие. Экономикадағы жағдай экстремалдылықтың белгілерін иемденіп, қазіргі кездегі әлеуеттің елеулі бөлігінің ысырап мүмкіндігінің өсуіне байланысты олардың өміршеңдігін және әрі қарай дамуын қамтамасыз ету қажет.</w:t>
      </w:r>
    </w:p>
    <w:p w14:paraId="4ADD145A" w14:textId="77777777" w:rsidR="008C2940" w:rsidRPr="00AE685D" w:rsidRDefault="008C2940" w:rsidP="008C2940">
      <w:pPr>
        <w:jc w:val="both"/>
        <w:rPr>
          <w:color w:val="FF0000"/>
          <w:sz w:val="36"/>
          <w:szCs w:val="36"/>
          <w:lang w:val="kk-KZ"/>
        </w:rPr>
      </w:pPr>
    </w:p>
    <w:p w14:paraId="1E629165" w14:textId="77777777" w:rsidR="008C2940" w:rsidRPr="00AE685D" w:rsidRDefault="008C2940" w:rsidP="008C2940">
      <w:pPr>
        <w:jc w:val="both"/>
        <w:rPr>
          <w:color w:val="FF0000"/>
          <w:sz w:val="36"/>
          <w:szCs w:val="36"/>
          <w:lang w:val="kk-KZ"/>
        </w:rPr>
      </w:pPr>
      <w:r w:rsidRPr="00AE685D">
        <w:rPr>
          <w:color w:val="FF0000"/>
          <w:sz w:val="36"/>
          <w:szCs w:val="36"/>
          <w:lang w:val="kk-KZ"/>
        </w:rPr>
        <w:t>Кәсіпорынның өміршеңдігі үшін нарықтық сфера оның бәсекеге қабілеттілігін талап етеді, ол мыналардан көрінеді: өндірістік ресурстарды тиімді пайдаланудан, инвестицияларды тартудан, икемділікті, жұмылдырылғыштықты және нақты пайданы алуды көтеруден.</w:t>
      </w:r>
    </w:p>
    <w:p w14:paraId="46709B38" w14:textId="77777777" w:rsidR="008C2940" w:rsidRPr="00AE685D" w:rsidRDefault="008C2940" w:rsidP="008C2940">
      <w:pPr>
        <w:jc w:val="both"/>
        <w:rPr>
          <w:color w:val="FF0000"/>
          <w:sz w:val="36"/>
          <w:szCs w:val="36"/>
          <w:lang w:val="kk-KZ"/>
        </w:rPr>
      </w:pPr>
    </w:p>
    <w:p w14:paraId="68FF90C7" w14:textId="77777777" w:rsidR="008C2940" w:rsidRPr="00AE685D" w:rsidRDefault="008C2940" w:rsidP="008C2940">
      <w:pPr>
        <w:jc w:val="both"/>
        <w:rPr>
          <w:color w:val="FF0000"/>
          <w:sz w:val="36"/>
          <w:szCs w:val="36"/>
          <w:lang w:val="kk-KZ"/>
        </w:rPr>
      </w:pPr>
      <w:r w:rsidRPr="00AE685D">
        <w:rPr>
          <w:color w:val="FF0000"/>
          <w:sz w:val="36"/>
          <w:szCs w:val="36"/>
          <w:lang w:val="kk-KZ"/>
        </w:rPr>
        <w:t xml:space="preserve">Өндіріске бағытталған инвестициялардың кенет қысқару және экономикалық дербес шаруашылық субъектілердің инновациялық белсенділігіне мемлекеттің әсер ету мүмкіндектерінің тарылу жағдайында мемлекеттік қолдаудың бірінші кезектегі объектісі болып табылатын нақты жобалармен қатар, технологиялық дамудың стратегиялық басымдылықтарын таңдаудың жауапкершілігі өседі. Мемлекеттік деңгейде мұндай таңдауды әдістемелік және ақпараттық қамтамасыз ету үшін кәсіпорын жағдайын қаржылық-экономикалық болжау және мониторинг жүйесі қажет, ал бұл өз кезегінде шаруашылық субъектінің әлеуетін </w:t>
      </w:r>
      <w:r w:rsidRPr="00AE685D">
        <w:rPr>
          <w:color w:val="FF0000"/>
          <w:sz w:val="36"/>
          <w:szCs w:val="36"/>
          <w:lang w:val="kk-KZ"/>
        </w:rPr>
        <w:lastRenderedPageBreak/>
        <w:t>экономикалық бағалауға, дағдарысты құбылыстардың алдын-алуға және кәсіпорынның бұдан да жоғарғы даму деңгейіне шығару бойынша шараларды әзірлеуге мүмкіндік береді.</w:t>
      </w:r>
    </w:p>
    <w:p w14:paraId="2F620F8A" w14:textId="77777777" w:rsidR="008C2940" w:rsidRPr="00AE685D" w:rsidRDefault="008C2940" w:rsidP="008C2940">
      <w:pPr>
        <w:jc w:val="both"/>
        <w:rPr>
          <w:color w:val="FF0000"/>
          <w:sz w:val="36"/>
          <w:szCs w:val="36"/>
          <w:lang w:val="kk-KZ"/>
        </w:rPr>
      </w:pPr>
    </w:p>
    <w:p w14:paraId="5FFAF487" w14:textId="77777777" w:rsidR="008C2940" w:rsidRPr="00AE685D" w:rsidRDefault="008C2940" w:rsidP="008C2940">
      <w:pPr>
        <w:jc w:val="both"/>
        <w:rPr>
          <w:color w:val="FF0000"/>
          <w:sz w:val="36"/>
          <w:szCs w:val="36"/>
          <w:lang w:val="kk-KZ"/>
        </w:rPr>
      </w:pPr>
      <w:r w:rsidRPr="00AE685D">
        <w:rPr>
          <w:color w:val="FF0000"/>
          <w:sz w:val="36"/>
          <w:szCs w:val="36"/>
          <w:lang w:val="kk-KZ"/>
        </w:rPr>
        <w:t>Дағдарысқа қарсы басқаруда стратегияның мәні</w:t>
      </w:r>
    </w:p>
    <w:p w14:paraId="3983BF40" w14:textId="77777777" w:rsidR="008C2940" w:rsidRPr="00AE685D" w:rsidRDefault="008C2940" w:rsidP="008C2940">
      <w:pPr>
        <w:jc w:val="both"/>
        <w:rPr>
          <w:color w:val="FF0000"/>
          <w:sz w:val="36"/>
          <w:szCs w:val="36"/>
          <w:lang w:val="kk-KZ"/>
        </w:rPr>
      </w:pPr>
      <w:r w:rsidRPr="00AE685D">
        <w:rPr>
          <w:color w:val="FF0000"/>
          <w:sz w:val="36"/>
          <w:szCs w:val="36"/>
          <w:lang w:val="kk-KZ"/>
        </w:rPr>
        <w:t>Қатаң бәсекелестік жағдайда шаруашылық жүргізудің нарықтық нысаны шаруашылық жүргізудің жеке субъектілердің дәрменсіздігіне немесе олардың уақытша төлем қабілетсіздігіне алып келді. Мысалы, статистиканың мәліметтері бойынша, ҚР-да терең экономикалық дағдарыстың нәтижесінде залалды кәсіпорындардың саны 80%-ды құрайды. Мұның нәтижесінде Қазақстандағы төленбеген төлемдер өте үлкен шамаға жетті, ал бұл өз кезегінде баспа-бас айырбас мәміленің үлкен көлеміне алып келді. Алайда, экономиканың тұрақтану жағдайында елде мұндай кәсіпорындардың болмауын күтпеген жөн. Мысалы, АҚШ-та жаңадан құрылған шағын және орта кәсіпорындардың 50%-ы өздерінің қызметін бір жылдың ішінде тоқтатады. Сонымен қатар заңмен танылған банкроттар бар-жоғы барлық кәсіпорындар санының 1%-ын құрайды. Жоғарыда айтылғандар дағдарысқа қарсы басқару бойынша тұрақты жұмыстар жүргізу қажеттігі туралы қорытынды жасауға мүмкіндік туғызады.</w:t>
      </w:r>
    </w:p>
    <w:p w14:paraId="0E4CDCC9" w14:textId="77777777" w:rsidR="008C2940" w:rsidRPr="00AE685D" w:rsidRDefault="008C2940" w:rsidP="008C2940">
      <w:pPr>
        <w:jc w:val="both"/>
        <w:rPr>
          <w:color w:val="FF0000"/>
          <w:sz w:val="36"/>
          <w:szCs w:val="36"/>
          <w:lang w:val="kk-KZ"/>
        </w:rPr>
      </w:pPr>
    </w:p>
    <w:p w14:paraId="35BEB907" w14:textId="77777777" w:rsidR="008C2940" w:rsidRPr="00AE685D" w:rsidRDefault="008C2940" w:rsidP="008C2940">
      <w:pPr>
        <w:jc w:val="both"/>
        <w:rPr>
          <w:color w:val="FF0000"/>
          <w:sz w:val="36"/>
          <w:szCs w:val="36"/>
          <w:lang w:val="kk-KZ"/>
        </w:rPr>
      </w:pPr>
      <w:r w:rsidRPr="00AE685D">
        <w:rPr>
          <w:color w:val="FF0000"/>
          <w:sz w:val="36"/>
          <w:szCs w:val="36"/>
          <w:lang w:val="kk-KZ"/>
        </w:rPr>
        <w:t>Неліктен алғашқы кезде қолайлы болған кәсіпорындар төлем қабілетсіздік жағдайға ұшырайды? Теория көрсетіп және тәжірибе растап тұрғандай, қазіргі жағдайда төлем қабілеттілігінің бұзылуы кәсіпорын стратегиясының сыртқы орта жағдайларының өзгерістеріне сәйкес келмеуінен пайда болады.</w:t>
      </w:r>
    </w:p>
    <w:p w14:paraId="4138C97B" w14:textId="77777777" w:rsidR="005377E2" w:rsidRDefault="005377E2">
      <w:pPr>
        <w:rPr>
          <w:lang w:val="kk-KZ"/>
        </w:rPr>
      </w:pPr>
    </w:p>
    <w:p w14:paraId="345991A5" w14:textId="77777777" w:rsidR="005377E2" w:rsidRDefault="005377E2">
      <w:pPr>
        <w:rPr>
          <w:lang w:val="kk-KZ"/>
        </w:rPr>
      </w:pPr>
    </w:p>
    <w:p w14:paraId="0B42EC23" w14:textId="77777777" w:rsidR="005377E2" w:rsidRDefault="005377E2" w:rsidP="005377E2">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2169B815" w14:textId="77777777" w:rsidR="005377E2" w:rsidRDefault="005377E2" w:rsidP="005377E2">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6FC7CE66" w14:textId="77777777" w:rsidR="005377E2" w:rsidRDefault="005377E2" w:rsidP="005377E2">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5F4617EA" w14:textId="77777777" w:rsidR="005377E2" w:rsidRDefault="005377E2" w:rsidP="005377E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1F104566" w14:textId="77777777" w:rsidR="005377E2" w:rsidRDefault="005377E2" w:rsidP="005377E2">
      <w:pPr>
        <w:numPr>
          <w:ilvl w:val="0"/>
          <w:numId w:val="1"/>
        </w:numPr>
        <w:tabs>
          <w:tab w:val="left" w:pos="39"/>
        </w:tabs>
        <w:contextualSpacing/>
        <w:jc w:val="both"/>
        <w:rPr>
          <w:rFonts w:eastAsiaTheme="minorHAnsi"/>
          <w:sz w:val="20"/>
          <w:szCs w:val="20"/>
        </w:rPr>
      </w:pPr>
      <w:r>
        <w:rPr>
          <w:rFonts w:eastAsiaTheme="minorHAnsi"/>
          <w:sz w:val="20"/>
          <w:szCs w:val="20"/>
        </w:rPr>
        <w:lastRenderedPageBreak/>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4E432847" w14:textId="77777777" w:rsidR="005377E2" w:rsidRDefault="005377E2" w:rsidP="005377E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016D1DEA" w14:textId="77777777" w:rsidR="005377E2" w:rsidRDefault="005377E2" w:rsidP="005377E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52213F9F" w14:textId="77777777" w:rsidR="005377E2" w:rsidRDefault="005377E2" w:rsidP="005377E2">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609297A5" w14:textId="77777777" w:rsidR="005377E2" w:rsidRDefault="005377E2" w:rsidP="005377E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72D074EC" w14:textId="77777777" w:rsidR="005377E2" w:rsidRDefault="005377E2" w:rsidP="005377E2">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422275B9" w14:textId="77777777" w:rsidR="005377E2" w:rsidRDefault="005377E2" w:rsidP="005377E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3F0B1AF1" w14:textId="77777777" w:rsidR="005377E2" w:rsidRDefault="005377E2" w:rsidP="005377E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28155623" w14:textId="77777777" w:rsidR="005377E2" w:rsidRDefault="005377E2" w:rsidP="005377E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5596343C" w14:textId="77777777" w:rsidR="005377E2" w:rsidRDefault="005377E2" w:rsidP="005377E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7E5ED27C" w14:textId="77777777" w:rsidR="005377E2" w:rsidRDefault="005377E2" w:rsidP="005377E2">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16BDE672" w14:textId="77777777" w:rsidR="005377E2" w:rsidRDefault="005377E2" w:rsidP="005377E2">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0E3E5F96" w14:textId="77777777" w:rsidR="005377E2" w:rsidRDefault="005377E2" w:rsidP="005377E2">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09E5AB80" w14:textId="77777777" w:rsidR="005377E2" w:rsidRDefault="005377E2" w:rsidP="005377E2">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4AF11535" w14:textId="77777777" w:rsidR="005377E2" w:rsidRDefault="005377E2" w:rsidP="005377E2">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1DC76594" w14:textId="77777777" w:rsidR="005377E2" w:rsidRDefault="005377E2" w:rsidP="005377E2">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059091A5" w14:textId="77777777" w:rsidR="005377E2" w:rsidRDefault="005377E2" w:rsidP="005377E2">
      <w:pPr>
        <w:rPr>
          <w:rFonts w:eastAsiaTheme="minorHAnsi"/>
          <w:sz w:val="20"/>
          <w:szCs w:val="20"/>
          <w:lang w:val="kk-KZ"/>
        </w:rPr>
      </w:pPr>
    </w:p>
    <w:p w14:paraId="1630273C" w14:textId="77777777" w:rsidR="005377E2" w:rsidRDefault="005377E2" w:rsidP="005377E2">
      <w:pPr>
        <w:rPr>
          <w:rFonts w:eastAsiaTheme="minorHAnsi"/>
          <w:sz w:val="20"/>
          <w:szCs w:val="20"/>
          <w:lang w:val="kk-KZ"/>
        </w:rPr>
      </w:pPr>
      <w:r>
        <w:rPr>
          <w:rFonts w:eastAsiaTheme="minorHAnsi"/>
          <w:sz w:val="20"/>
          <w:szCs w:val="20"/>
          <w:lang w:val="kk-KZ"/>
        </w:rPr>
        <w:t>Қосымша әдебиеттер:</w:t>
      </w:r>
    </w:p>
    <w:p w14:paraId="505DD66D" w14:textId="77777777" w:rsidR="005377E2" w:rsidRDefault="005377E2" w:rsidP="005377E2">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AF80531" w14:textId="77777777" w:rsidR="005377E2" w:rsidRDefault="005377E2" w:rsidP="005377E2">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57EBEA5D" w14:textId="77777777" w:rsidR="005377E2" w:rsidRDefault="005377E2" w:rsidP="005377E2">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108AC928" w14:textId="77777777" w:rsidR="005377E2" w:rsidRDefault="005377E2" w:rsidP="005377E2">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3753AF11" w14:textId="77777777" w:rsidR="005377E2" w:rsidRDefault="005377E2" w:rsidP="005377E2">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06FE71C" w14:textId="77777777" w:rsidR="005377E2" w:rsidRDefault="005377E2" w:rsidP="005377E2">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001DF0A" w14:textId="77777777" w:rsidR="005377E2" w:rsidRDefault="005377E2" w:rsidP="005377E2">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62D62925" w14:textId="77777777" w:rsidR="005377E2" w:rsidRDefault="005377E2" w:rsidP="005377E2">
      <w:pPr>
        <w:rPr>
          <w:rFonts w:eastAsiaTheme="minorHAnsi"/>
          <w:b/>
          <w:bCs/>
          <w:color w:val="000000"/>
          <w:sz w:val="20"/>
          <w:szCs w:val="20"/>
          <w:lang w:val="kk-KZ"/>
        </w:rPr>
      </w:pPr>
    </w:p>
    <w:p w14:paraId="4CF55838" w14:textId="77777777" w:rsidR="005377E2" w:rsidRDefault="005377E2" w:rsidP="005377E2">
      <w:pPr>
        <w:rPr>
          <w:rFonts w:eastAsiaTheme="minorHAnsi"/>
          <w:sz w:val="20"/>
          <w:szCs w:val="20"/>
          <w:lang w:val="kk-KZ"/>
        </w:rPr>
      </w:pPr>
      <w:r>
        <w:rPr>
          <w:rFonts w:eastAsiaTheme="minorHAnsi"/>
          <w:b/>
          <w:bCs/>
          <w:color w:val="000000"/>
          <w:sz w:val="20"/>
          <w:szCs w:val="20"/>
          <w:lang w:val="kk-KZ"/>
        </w:rPr>
        <w:t>Интернет-ресурстар:</w:t>
      </w:r>
    </w:p>
    <w:p w14:paraId="7B4633A2" w14:textId="77777777" w:rsidR="005377E2" w:rsidRDefault="005377E2" w:rsidP="005377E2">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4F37BF24" w14:textId="77777777" w:rsidR="005377E2" w:rsidRDefault="005377E2" w:rsidP="005377E2">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28ACBA7F" w14:textId="77777777" w:rsidR="005377E2" w:rsidRDefault="005377E2" w:rsidP="005377E2">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057B5BA1" w14:textId="77777777" w:rsidR="005377E2" w:rsidRDefault="005377E2" w:rsidP="005377E2">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6876D985" w14:textId="77777777" w:rsidR="005377E2" w:rsidRDefault="005377E2" w:rsidP="005377E2">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3283BFB3" w14:textId="77777777" w:rsidR="005377E2" w:rsidRDefault="005377E2" w:rsidP="005377E2">
      <w:pPr>
        <w:rPr>
          <w:color w:val="000000" w:themeColor="text1"/>
          <w:sz w:val="20"/>
          <w:szCs w:val="20"/>
          <w:lang w:val="kk-KZ"/>
        </w:rPr>
      </w:pPr>
    </w:p>
    <w:p w14:paraId="035DFD97" w14:textId="77777777" w:rsidR="005377E2" w:rsidRDefault="005377E2" w:rsidP="005377E2">
      <w:pPr>
        <w:rPr>
          <w:b/>
          <w:bCs/>
          <w:color w:val="000000" w:themeColor="text1"/>
          <w:sz w:val="20"/>
          <w:szCs w:val="20"/>
          <w:lang w:val="kk-KZ"/>
        </w:rPr>
      </w:pPr>
      <w:r>
        <w:rPr>
          <w:b/>
          <w:bCs/>
          <w:color w:val="000000" w:themeColor="text1"/>
          <w:sz w:val="20"/>
          <w:szCs w:val="20"/>
          <w:lang w:val="kk-KZ"/>
        </w:rPr>
        <w:t>Зерттеушілік инфрақұрылымы</w:t>
      </w:r>
    </w:p>
    <w:p w14:paraId="47D628E0" w14:textId="77777777" w:rsidR="005377E2" w:rsidRDefault="005377E2" w:rsidP="005377E2">
      <w:pPr>
        <w:rPr>
          <w:color w:val="000000" w:themeColor="text1"/>
          <w:sz w:val="20"/>
          <w:szCs w:val="20"/>
          <w:lang w:val="kk-KZ"/>
        </w:rPr>
      </w:pPr>
      <w:r>
        <w:rPr>
          <w:color w:val="000000" w:themeColor="text1"/>
          <w:sz w:val="20"/>
          <w:szCs w:val="20"/>
          <w:lang w:val="kk-KZ"/>
        </w:rPr>
        <w:t>1. Аудитория 215</w:t>
      </w:r>
    </w:p>
    <w:p w14:paraId="72B8A4B5" w14:textId="7DEAFADA" w:rsidR="005377E2" w:rsidRPr="005377E2" w:rsidRDefault="005377E2" w:rsidP="005377E2">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sectPr w:rsidR="005377E2" w:rsidRPr="005377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680208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044031">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50345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1E"/>
    <w:rsid w:val="001632AF"/>
    <w:rsid w:val="00310446"/>
    <w:rsid w:val="003E6D87"/>
    <w:rsid w:val="00475CEA"/>
    <w:rsid w:val="005377E2"/>
    <w:rsid w:val="008C2940"/>
    <w:rsid w:val="009C321E"/>
    <w:rsid w:val="00AB6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34C0"/>
  <w15:chartTrackingRefBased/>
  <w15:docId w15:val="{96C1BB10-3D04-4A36-931B-1E5C038F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7E2"/>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5377E2"/>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537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8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2024-05-22T04:24:00Z</dcterms:created>
  <dcterms:modified xsi:type="dcterms:W3CDTF">2024-05-22T05:31:00Z</dcterms:modified>
</cp:coreProperties>
</file>